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07F" w:rsidRPr="00ED307F" w:rsidRDefault="00ED307F" w:rsidP="00ED307F">
      <w:pPr>
        <w:adjustRightInd w:val="0"/>
        <w:snapToGrid w:val="0"/>
        <w:spacing w:line="579" w:lineRule="atLeast"/>
        <w:rPr>
          <w:rFonts w:ascii="仿宋_GB2312" w:eastAsia="仿宋_GB2312" w:hAnsi="Times New Roman" w:cs="Times New Roman"/>
          <w:sz w:val="32"/>
          <w:szCs w:val="32"/>
        </w:rPr>
      </w:pPr>
      <w:r w:rsidRPr="00ED307F">
        <w:rPr>
          <w:rFonts w:ascii="仿宋_GB2312" w:eastAsia="仿宋_GB2312" w:hAnsi="Times New Roman" w:cs="Times New Roman" w:hint="eastAsia"/>
          <w:sz w:val="32"/>
          <w:szCs w:val="32"/>
        </w:rPr>
        <w:t>附</w:t>
      </w:r>
      <w:r w:rsidR="00BD372A">
        <w:rPr>
          <w:rFonts w:ascii="仿宋_GB2312" w:eastAsia="仿宋_GB2312" w:hAnsi="Times New Roman" w:cs="Times New Roman" w:hint="eastAsia"/>
          <w:sz w:val="32"/>
          <w:szCs w:val="32"/>
        </w:rPr>
        <w:t>录A</w:t>
      </w:r>
    </w:p>
    <w:p w:rsidR="00ED307F" w:rsidRPr="00ED307F" w:rsidRDefault="00ED307F" w:rsidP="00ED307F">
      <w:pPr>
        <w:adjustRightInd w:val="0"/>
        <w:snapToGrid w:val="0"/>
        <w:spacing w:line="579" w:lineRule="atLeast"/>
        <w:jc w:val="center"/>
        <w:rPr>
          <w:rFonts w:ascii="仿宋_GB2312" w:eastAsia="仿宋_GB2312" w:hAnsi="Times New Roman" w:cs="Times New Roman"/>
          <w:sz w:val="32"/>
          <w:szCs w:val="32"/>
        </w:rPr>
      </w:pPr>
    </w:p>
    <w:p w:rsidR="00ED307F" w:rsidRDefault="00ED307F" w:rsidP="00ED307F">
      <w:pPr>
        <w:spacing w:line="560" w:lineRule="exact"/>
        <w:jc w:val="center"/>
        <w:rPr>
          <w:rFonts w:ascii="方正小标宋简体" w:eastAsia="方正小标宋简体"/>
          <w:sz w:val="44"/>
          <w:szCs w:val="44"/>
        </w:rPr>
      </w:pPr>
      <w:r w:rsidRPr="00CE2429">
        <w:rPr>
          <w:rFonts w:ascii="方正小标宋简体" w:eastAsia="方正小标宋简体" w:hint="eastAsia"/>
          <w:sz w:val="44"/>
          <w:szCs w:val="44"/>
        </w:rPr>
        <w:t>设施农业用地涉及永久基本农田补划方案</w:t>
      </w:r>
      <w:r>
        <w:rPr>
          <w:rFonts w:ascii="方正小标宋简体" w:eastAsia="方正小标宋简体" w:hint="eastAsia"/>
          <w:sz w:val="44"/>
          <w:szCs w:val="44"/>
        </w:rPr>
        <w:t xml:space="preserve"> </w:t>
      </w:r>
      <w:r w:rsidRPr="00CE2429">
        <w:rPr>
          <w:rFonts w:ascii="方正小标宋简体" w:eastAsia="方正小标宋简体" w:hint="eastAsia"/>
          <w:sz w:val="44"/>
          <w:szCs w:val="44"/>
        </w:rPr>
        <w:t>（模板）</w:t>
      </w:r>
    </w:p>
    <w:p w:rsidR="00ED307F" w:rsidRDefault="00ED307F" w:rsidP="00ED307F">
      <w:pPr>
        <w:spacing w:line="560" w:lineRule="exact"/>
        <w:jc w:val="center"/>
        <w:rPr>
          <w:rFonts w:ascii="仿宋_GB2312" w:eastAsia="仿宋_GB2312"/>
          <w:szCs w:val="21"/>
        </w:rPr>
      </w:pPr>
    </w:p>
    <w:p w:rsidR="00ED307F" w:rsidRDefault="00ED307F" w:rsidP="00ED307F">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一、项目概况</w:t>
      </w:r>
    </w:p>
    <w:p w:rsidR="00ED307F"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〔项目建设地点〕</w:t>
      </w:r>
      <w:r w:rsidRPr="00E1007C">
        <w:rPr>
          <w:rFonts w:ascii="仿宋_GB2312" w:eastAsia="仿宋_GB2312"/>
          <w:sz w:val="32"/>
          <w:szCs w:val="32"/>
        </w:rPr>
        <w:t>项目用地涉及xx市xx县（市、区）xx镇XX村。</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〔项目建设</w:t>
      </w:r>
      <w:r>
        <w:rPr>
          <w:rFonts w:ascii="仿宋_GB2312" w:eastAsia="仿宋_GB2312" w:hint="eastAsia"/>
          <w:sz w:val="32"/>
          <w:szCs w:val="32"/>
        </w:rPr>
        <w:t>用途</w:t>
      </w:r>
      <w:r w:rsidRPr="00C676F8">
        <w:rPr>
          <w:rFonts w:ascii="仿宋_GB2312" w:eastAsia="仿宋_GB2312"/>
          <w:sz w:val="32"/>
          <w:szCs w:val="32"/>
        </w:rPr>
        <w:t>〕</w:t>
      </w:r>
      <w:r>
        <w:rPr>
          <w:rFonts w:ascii="仿宋_GB2312" w:eastAsia="仿宋_GB2312" w:hint="eastAsia"/>
          <w:sz w:val="32"/>
          <w:szCs w:val="32"/>
        </w:rPr>
        <w:t>设施农业用地生产设施类型，辅助设施类型及其具体用途。</w:t>
      </w:r>
    </w:p>
    <w:p w:rsidR="00ED307F"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〔项目用地情况〕</w:t>
      </w:r>
      <w:r w:rsidRPr="00E1007C">
        <w:rPr>
          <w:rFonts w:ascii="仿宋_GB2312" w:eastAsia="仿宋_GB2312"/>
          <w:sz w:val="32"/>
          <w:szCs w:val="32"/>
        </w:rPr>
        <w:t>项目申请用地总面积XX公顷，其中</w:t>
      </w:r>
      <w:r>
        <w:rPr>
          <w:rFonts w:ascii="仿宋_GB2312" w:eastAsia="仿宋_GB2312" w:hint="eastAsia"/>
          <w:sz w:val="32"/>
          <w:szCs w:val="32"/>
        </w:rPr>
        <w:t>耕</w:t>
      </w:r>
      <w:r w:rsidRPr="00E1007C">
        <w:rPr>
          <w:rFonts w:ascii="仿宋_GB2312" w:eastAsia="仿宋_GB2312"/>
          <w:sz w:val="32"/>
          <w:szCs w:val="32"/>
        </w:rPr>
        <w:t>地XX公顷（</w:t>
      </w:r>
      <w:r>
        <w:rPr>
          <w:rFonts w:ascii="仿宋_GB2312" w:eastAsia="仿宋_GB2312" w:hint="eastAsia"/>
          <w:sz w:val="32"/>
          <w:szCs w:val="32"/>
        </w:rPr>
        <w:t>一般</w:t>
      </w:r>
      <w:r w:rsidRPr="00E1007C">
        <w:rPr>
          <w:rFonts w:ascii="仿宋_GB2312" w:eastAsia="仿宋_GB2312"/>
          <w:sz w:val="32"/>
          <w:szCs w:val="32"/>
        </w:rPr>
        <w:t>耕地XX公顷，永久基本农田XX公顷），</w:t>
      </w:r>
      <w:r>
        <w:rPr>
          <w:rFonts w:ascii="仿宋_GB2312" w:eastAsia="仿宋_GB2312" w:hint="eastAsia"/>
          <w:sz w:val="32"/>
          <w:szCs w:val="32"/>
        </w:rPr>
        <w:t>其他</w:t>
      </w:r>
      <w:r w:rsidRPr="00E1007C">
        <w:rPr>
          <w:rFonts w:ascii="仿宋_GB2312" w:eastAsia="仿宋_GB2312"/>
          <w:sz w:val="32"/>
          <w:szCs w:val="32"/>
        </w:rPr>
        <w:t>用地 XX 公顷。</w:t>
      </w:r>
    </w:p>
    <w:p w:rsidR="0024673B" w:rsidRPr="00E1007C" w:rsidRDefault="0024673B"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w:t>
      </w:r>
      <w:r>
        <w:rPr>
          <w:rFonts w:ascii="仿宋_GB2312" w:eastAsia="仿宋_GB2312" w:hint="eastAsia"/>
          <w:sz w:val="32"/>
          <w:szCs w:val="32"/>
        </w:rPr>
        <w:t>占用永久基本农田情况</w:t>
      </w:r>
      <w:r w:rsidRPr="00C676F8">
        <w:rPr>
          <w:rFonts w:ascii="仿宋_GB2312" w:eastAsia="仿宋_GB2312"/>
          <w:sz w:val="32"/>
          <w:szCs w:val="32"/>
        </w:rPr>
        <w:t>〕</w:t>
      </w:r>
      <w:r>
        <w:rPr>
          <w:rFonts w:ascii="仿宋_GB2312" w:eastAsia="仿宋_GB2312" w:hint="eastAsia"/>
          <w:sz w:val="32"/>
          <w:szCs w:val="32"/>
        </w:rPr>
        <w:t>生产设施占用永久基本农田XX公顷</w:t>
      </w:r>
      <w:r w:rsidR="00D909CC">
        <w:rPr>
          <w:rFonts w:ascii="仿宋_GB2312" w:eastAsia="仿宋_GB2312" w:hint="eastAsia"/>
          <w:sz w:val="32"/>
          <w:szCs w:val="32"/>
        </w:rPr>
        <w:t>（其中破坏耕作层面积XX公顷）</w:t>
      </w:r>
      <w:r>
        <w:rPr>
          <w:rFonts w:ascii="仿宋_GB2312" w:eastAsia="仿宋_GB2312" w:hint="eastAsia"/>
          <w:sz w:val="32"/>
          <w:szCs w:val="32"/>
        </w:rPr>
        <w:t>，辅助设施占用永久基本农田XX公顷</w:t>
      </w:r>
      <w:r w:rsidR="00D909CC">
        <w:rPr>
          <w:rFonts w:ascii="仿宋_GB2312" w:eastAsia="仿宋_GB2312" w:hint="eastAsia"/>
          <w:sz w:val="32"/>
          <w:szCs w:val="32"/>
        </w:rPr>
        <w:t>（其中破坏耕作层面积XX公顷）</w:t>
      </w:r>
      <w:r>
        <w:rPr>
          <w:rFonts w:ascii="仿宋_GB2312" w:eastAsia="仿宋_GB2312" w:hint="eastAsia"/>
          <w:sz w:val="32"/>
          <w:szCs w:val="32"/>
        </w:rPr>
        <w:t>，是否存在通过技术措施，减少对耕作层破坏的情形，具体如何实施。</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〔永久基本农田调整的原因〕</w:t>
      </w:r>
      <w:r w:rsidRPr="00E1007C">
        <w:rPr>
          <w:rFonts w:ascii="仿宋_GB2312" w:eastAsia="仿宋_GB2312"/>
          <w:sz w:val="32"/>
          <w:szCs w:val="32"/>
        </w:rPr>
        <w:t>根据《</w:t>
      </w:r>
      <w:r>
        <w:rPr>
          <w:rFonts w:ascii="仿宋_GB2312" w:eastAsia="仿宋_GB2312" w:hint="eastAsia"/>
          <w:sz w:val="32"/>
          <w:szCs w:val="32"/>
        </w:rPr>
        <w:t>自然资源部 农业农村部关于设施农业用地管理有关问题的通知</w:t>
      </w:r>
      <w:r w:rsidRPr="00E1007C">
        <w:rPr>
          <w:rFonts w:ascii="仿宋_GB2312" w:eastAsia="仿宋_GB2312"/>
          <w:sz w:val="32"/>
          <w:szCs w:val="32"/>
        </w:rPr>
        <w:t>》</w:t>
      </w:r>
      <w:r>
        <w:rPr>
          <w:rFonts w:ascii="仿宋_GB2312" w:eastAsia="仿宋_GB2312" w:hint="eastAsia"/>
          <w:sz w:val="32"/>
          <w:szCs w:val="32"/>
        </w:rPr>
        <w:t>（自然资规</w:t>
      </w:r>
      <w:r w:rsidRPr="00E1007C">
        <w:rPr>
          <w:rFonts w:ascii="仿宋_GB2312" w:eastAsia="仿宋_GB2312"/>
          <w:sz w:val="32"/>
          <w:szCs w:val="32"/>
        </w:rPr>
        <w:t>〔2019〕</w:t>
      </w:r>
      <w:r>
        <w:rPr>
          <w:rFonts w:ascii="仿宋_GB2312" w:eastAsia="仿宋_GB2312" w:hint="eastAsia"/>
          <w:sz w:val="32"/>
          <w:szCs w:val="32"/>
        </w:rPr>
        <w:t>4</w:t>
      </w:r>
      <w:r w:rsidRPr="00E1007C">
        <w:rPr>
          <w:rFonts w:ascii="仿宋_GB2312" w:eastAsia="仿宋_GB2312"/>
          <w:sz w:val="32"/>
          <w:szCs w:val="32"/>
        </w:rPr>
        <w:t>号</w:t>
      </w:r>
      <w:r>
        <w:rPr>
          <w:rFonts w:ascii="仿宋_GB2312" w:eastAsia="仿宋_GB2312" w:hint="eastAsia"/>
          <w:sz w:val="32"/>
          <w:szCs w:val="32"/>
        </w:rPr>
        <w:t>）、</w:t>
      </w:r>
      <w:r w:rsidRPr="00E1007C">
        <w:rPr>
          <w:rFonts w:ascii="仿宋_GB2312" w:eastAsia="仿宋_GB2312"/>
          <w:sz w:val="32"/>
          <w:szCs w:val="32"/>
        </w:rPr>
        <w:t>《</w:t>
      </w:r>
      <w:r>
        <w:rPr>
          <w:rFonts w:ascii="仿宋_GB2312" w:eastAsia="仿宋_GB2312" w:hint="eastAsia"/>
          <w:sz w:val="32"/>
          <w:szCs w:val="32"/>
        </w:rPr>
        <w:t>广西壮族自治区自然资源厅 广西壮族自治区农业农村厅关于进一步加强和规范我区设施农业用地管理的通知</w:t>
      </w:r>
      <w:r w:rsidRPr="00E1007C">
        <w:rPr>
          <w:rFonts w:ascii="仿宋_GB2312" w:eastAsia="仿宋_GB2312"/>
          <w:sz w:val="32"/>
          <w:szCs w:val="32"/>
        </w:rPr>
        <w:t>》（</w:t>
      </w:r>
      <w:r>
        <w:rPr>
          <w:rFonts w:ascii="仿宋_GB2312" w:eastAsia="仿宋_GB2312" w:hint="eastAsia"/>
          <w:sz w:val="32"/>
          <w:szCs w:val="32"/>
        </w:rPr>
        <w:t>桂</w:t>
      </w:r>
      <w:r w:rsidRPr="00E1007C">
        <w:rPr>
          <w:rFonts w:ascii="仿宋_GB2312" w:eastAsia="仿宋_GB2312"/>
          <w:sz w:val="32"/>
          <w:szCs w:val="32"/>
        </w:rPr>
        <w:t>自然资规〔20</w:t>
      </w:r>
      <w:r>
        <w:rPr>
          <w:rFonts w:ascii="仿宋_GB2312" w:eastAsia="仿宋_GB2312" w:hint="eastAsia"/>
          <w:sz w:val="32"/>
          <w:szCs w:val="32"/>
        </w:rPr>
        <w:t>20</w:t>
      </w:r>
      <w:r w:rsidRPr="00E1007C">
        <w:rPr>
          <w:rFonts w:ascii="仿宋_GB2312" w:eastAsia="仿宋_GB2312"/>
          <w:sz w:val="32"/>
          <w:szCs w:val="32"/>
        </w:rPr>
        <w:t>〕</w:t>
      </w:r>
      <w:r>
        <w:rPr>
          <w:rFonts w:ascii="仿宋_GB2312" w:eastAsia="仿宋_GB2312" w:hint="eastAsia"/>
          <w:sz w:val="32"/>
          <w:szCs w:val="32"/>
        </w:rPr>
        <w:t>3</w:t>
      </w:r>
      <w:r w:rsidRPr="00E1007C">
        <w:rPr>
          <w:rFonts w:ascii="仿宋_GB2312" w:eastAsia="仿宋_GB2312"/>
          <w:sz w:val="32"/>
          <w:szCs w:val="32"/>
        </w:rPr>
        <w:t>号）等政策，该项目符合 XX情形，可以调整所在项目区域范围内永久基本农田。</w:t>
      </w:r>
    </w:p>
    <w:p w:rsidR="00ED307F" w:rsidRPr="00E1007C" w:rsidRDefault="00ED307F" w:rsidP="00ED307F">
      <w:pPr>
        <w:spacing w:line="560" w:lineRule="exact"/>
        <w:ind w:firstLineChars="200" w:firstLine="640"/>
        <w:rPr>
          <w:rFonts w:ascii="仿宋_GB2312" w:eastAsia="仿宋_GB2312"/>
          <w:sz w:val="32"/>
          <w:szCs w:val="32"/>
        </w:rPr>
      </w:pPr>
      <w:r>
        <w:rPr>
          <w:rFonts w:ascii="仿宋_GB2312" w:eastAsia="仿宋_GB2312" w:hint="eastAsia"/>
          <w:sz w:val="32"/>
          <w:szCs w:val="32"/>
        </w:rPr>
        <w:t>二</w:t>
      </w:r>
      <w:r w:rsidRPr="00E1007C">
        <w:rPr>
          <w:rFonts w:ascii="仿宋_GB2312" w:eastAsia="仿宋_GB2312"/>
          <w:sz w:val="32"/>
          <w:szCs w:val="32"/>
        </w:rPr>
        <w:t>、永久基本农田调整方案</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lastRenderedPageBreak/>
        <w:t>〔永久基本农田调整情况〕</w:t>
      </w:r>
      <w:r w:rsidRPr="00E1007C">
        <w:rPr>
          <w:rFonts w:ascii="仿宋_GB2312" w:eastAsia="仿宋_GB2312"/>
          <w:sz w:val="32"/>
          <w:szCs w:val="32"/>
        </w:rPr>
        <w:t>所在项目区域范围内永久基本农田调整情况综述，并重点说明永久基本农田调整前后，永久基本农田数量（含水田面积）、质量、空间位置、集中连片度、 布局、生态等方面的变化情况。</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〔调出永久基本农田的合理性〕</w:t>
      </w:r>
      <w:r w:rsidRPr="00E1007C">
        <w:rPr>
          <w:rFonts w:ascii="仿宋_GB2312" w:eastAsia="仿宋_GB2312"/>
          <w:sz w:val="32"/>
          <w:szCs w:val="32"/>
        </w:rPr>
        <w:t>说明所在项目区域范围内拟调出永久基本农田具体数量（包括水田面积）、平均质量等别、空间位置等情况，详细说明拟调出永久基本农田的具体方案，含项目类型、用途和分布等，明确经实地踏勘，该项目建设方案是否符合节约集约用地要求，是否</w:t>
      </w:r>
      <w:r>
        <w:rPr>
          <w:rFonts w:ascii="仿宋_GB2312" w:eastAsia="仿宋_GB2312" w:hint="eastAsia"/>
          <w:sz w:val="32"/>
          <w:szCs w:val="32"/>
        </w:rPr>
        <w:t>确实难以避让</w:t>
      </w:r>
      <w:r w:rsidRPr="00E1007C">
        <w:rPr>
          <w:rFonts w:ascii="仿宋_GB2312" w:eastAsia="仿宋_GB2312"/>
          <w:sz w:val="32"/>
          <w:szCs w:val="32"/>
        </w:rPr>
        <w:t>永久基本农田，充分说明用地选址和调出永久基本农田的合理性。</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〔补划永久基本农田的可行性〕</w:t>
      </w:r>
      <w:r w:rsidRPr="00E1007C">
        <w:rPr>
          <w:rFonts w:ascii="仿宋_GB2312" w:eastAsia="仿宋_GB2312"/>
          <w:sz w:val="32"/>
          <w:szCs w:val="32"/>
        </w:rPr>
        <w:t>说明所在项目区域范围内拟补划永久基本农田的具体数量（包括水田面积）、平均质量等别、空间位置等情况，充分说明补划永久基本农田来源及是否满足数量有增加，质量有提升，集中连片度有增加，生态有改善的要求。</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〔永久基本农田调出情况〕</w:t>
      </w:r>
      <w:r w:rsidRPr="00E1007C">
        <w:rPr>
          <w:rFonts w:ascii="仿宋_GB2312" w:eastAsia="仿宋_GB2312"/>
          <w:sz w:val="32"/>
          <w:szCs w:val="32"/>
        </w:rPr>
        <w:t>将拟调出永久基本农田的用地范围与永久基本农田划定数据库套合进行分析，详细说明调出永久基本农田具体规模（含水田面积）、 图斑数量、平均质量等别、空间位置等基本情况。涉及调出城市周边永久基本农田的，详细说明城市周边具体规模（含水田面积）、图斑数量、平均质量等别等情况,并附调出永久基本农田分布示意图（包含城市周边范围线）。</w:t>
      </w:r>
    </w:p>
    <w:p w:rsidR="00ED307F" w:rsidRPr="00E1007C" w:rsidRDefault="00ED307F" w:rsidP="00ED307F">
      <w:pPr>
        <w:spacing w:line="560" w:lineRule="exact"/>
        <w:ind w:firstLineChars="200" w:firstLine="640"/>
        <w:rPr>
          <w:rFonts w:ascii="仿宋_GB2312" w:eastAsia="仿宋_GB2312"/>
          <w:sz w:val="32"/>
          <w:szCs w:val="32"/>
        </w:rPr>
      </w:pPr>
      <w:r w:rsidRPr="00C676F8">
        <w:rPr>
          <w:rFonts w:ascii="仿宋_GB2312" w:eastAsia="仿宋_GB2312"/>
          <w:sz w:val="32"/>
          <w:szCs w:val="32"/>
        </w:rPr>
        <w:t>〔永久基本农田补划情况〕</w:t>
      </w:r>
      <w:r w:rsidRPr="00E1007C">
        <w:rPr>
          <w:rFonts w:ascii="仿宋_GB2312" w:eastAsia="仿宋_GB2312"/>
          <w:sz w:val="32"/>
          <w:szCs w:val="32"/>
        </w:rPr>
        <w:t>按照永久基本农田划定要求，</w:t>
      </w:r>
      <w:r w:rsidRPr="00E1007C">
        <w:rPr>
          <w:rFonts w:ascii="仿宋_GB2312" w:eastAsia="仿宋_GB2312"/>
          <w:sz w:val="32"/>
          <w:szCs w:val="32"/>
        </w:rPr>
        <w:lastRenderedPageBreak/>
        <w:t>详细说明补划永久基本农田规模（含水田面积）、图斑数量、平均质量等别、空间位置等情况。补划城市周边永久基本农田的，详细说明城市周边补划永久基本农田规模（含水田面积）、图斑数量、平均质量等别、空间位置等情况，并附补划永久基本农田分布示意图（包含城市周边范围线），同时提交补划永久基本农田拐点坐标（电子版本）。若所在项目区范围内的城市周边确实没有补划空间，需充分说明理由。</w:t>
      </w:r>
    </w:p>
    <w:p w:rsidR="00ED307F" w:rsidRPr="00E1007C" w:rsidRDefault="00ED307F" w:rsidP="00ED307F">
      <w:pPr>
        <w:spacing w:line="560" w:lineRule="exact"/>
        <w:ind w:firstLineChars="200" w:firstLine="640"/>
        <w:rPr>
          <w:rFonts w:ascii="仿宋_GB2312" w:eastAsia="仿宋_GB2312"/>
          <w:sz w:val="32"/>
          <w:szCs w:val="32"/>
        </w:rPr>
      </w:pPr>
      <w:r>
        <w:rPr>
          <w:rFonts w:ascii="仿宋_GB2312" w:eastAsia="仿宋_GB2312" w:hint="eastAsia"/>
          <w:sz w:val="32"/>
          <w:szCs w:val="32"/>
        </w:rPr>
        <w:t>三</w:t>
      </w:r>
      <w:r w:rsidRPr="00E1007C">
        <w:rPr>
          <w:rFonts w:ascii="仿宋_GB2312" w:eastAsia="仿宋_GB2312"/>
          <w:sz w:val="32"/>
          <w:szCs w:val="32"/>
        </w:rPr>
        <w:t>、结论</w:t>
      </w:r>
    </w:p>
    <w:p w:rsidR="00ED307F" w:rsidRDefault="00ED307F" w:rsidP="00ED307F">
      <w:pPr>
        <w:spacing w:line="560" w:lineRule="exact"/>
        <w:ind w:firstLineChars="200" w:firstLine="640"/>
        <w:rPr>
          <w:rFonts w:ascii="仿宋_GB2312" w:eastAsia="仿宋_GB2312"/>
          <w:sz w:val="32"/>
          <w:szCs w:val="32"/>
        </w:rPr>
      </w:pPr>
      <w:r w:rsidRPr="00E1007C">
        <w:rPr>
          <w:rFonts w:ascii="仿宋_GB2312" w:eastAsia="仿宋_GB2312"/>
          <w:sz w:val="32"/>
          <w:szCs w:val="32"/>
        </w:rPr>
        <w:t>明确提出所在项目区域范围内调整永久基本农田是否合理可行，提出是否按规定对调出的永久基本农田进行了补划。补划后的永久基本农田纳入国土空间总体规划、村庄规划并上图入库，纳入法定保护任务。</w:t>
      </w:r>
    </w:p>
    <w:p w:rsidR="00ED307F" w:rsidRPr="00E1007C" w:rsidRDefault="00ED307F" w:rsidP="00ED307F">
      <w:pPr>
        <w:spacing w:line="560" w:lineRule="exact"/>
        <w:ind w:firstLineChars="200" w:firstLine="640"/>
        <w:rPr>
          <w:rFonts w:ascii="仿宋_GB2312" w:eastAsia="仿宋_GB2312"/>
          <w:sz w:val="32"/>
          <w:szCs w:val="32"/>
        </w:rPr>
      </w:pPr>
    </w:p>
    <w:p w:rsidR="00ED307F" w:rsidRPr="00E1007C" w:rsidRDefault="00ED307F" w:rsidP="00ED307F">
      <w:pPr>
        <w:spacing w:line="560" w:lineRule="exact"/>
        <w:ind w:firstLineChars="200" w:firstLine="640"/>
        <w:rPr>
          <w:rFonts w:ascii="仿宋_GB2312" w:eastAsia="仿宋_GB2312"/>
          <w:sz w:val="32"/>
          <w:szCs w:val="32"/>
        </w:rPr>
      </w:pPr>
      <w:r w:rsidRPr="00E1007C">
        <w:rPr>
          <w:rFonts w:ascii="仿宋_GB2312" w:eastAsia="仿宋_GB2312"/>
          <w:sz w:val="32"/>
          <w:szCs w:val="32"/>
        </w:rPr>
        <w:t>附件：1.所在项目区范围内调出永久基本农田情况表</w:t>
      </w:r>
    </w:p>
    <w:p w:rsidR="00ED307F" w:rsidRPr="00E1007C" w:rsidRDefault="00ED307F" w:rsidP="00ED307F">
      <w:pPr>
        <w:spacing w:line="560" w:lineRule="exact"/>
        <w:ind w:firstLineChars="500" w:firstLine="1600"/>
        <w:rPr>
          <w:rFonts w:ascii="仿宋_GB2312" w:eastAsia="仿宋_GB2312"/>
          <w:sz w:val="32"/>
          <w:szCs w:val="32"/>
        </w:rPr>
      </w:pPr>
      <w:r>
        <w:rPr>
          <w:rFonts w:ascii="仿宋_GB2312" w:eastAsia="仿宋_GB2312" w:hint="eastAsia"/>
          <w:sz w:val="32"/>
          <w:szCs w:val="32"/>
        </w:rPr>
        <w:t>2.</w:t>
      </w:r>
      <w:r w:rsidRPr="00E1007C">
        <w:rPr>
          <w:rFonts w:ascii="仿宋_GB2312" w:eastAsia="仿宋_GB2312"/>
          <w:sz w:val="32"/>
          <w:szCs w:val="32"/>
        </w:rPr>
        <w:t>所在项目区范围内永久基本农田补划情况表</w:t>
      </w:r>
    </w:p>
    <w:p w:rsidR="00ED307F" w:rsidRPr="00E1007C" w:rsidRDefault="00ED307F" w:rsidP="00ED307F">
      <w:pPr>
        <w:spacing w:line="560" w:lineRule="exact"/>
        <w:ind w:firstLineChars="500" w:firstLine="1600"/>
        <w:rPr>
          <w:rFonts w:ascii="仿宋_GB2312" w:eastAsia="仿宋_GB2312"/>
          <w:sz w:val="32"/>
          <w:szCs w:val="32"/>
        </w:rPr>
      </w:pPr>
      <w:r>
        <w:rPr>
          <w:rFonts w:ascii="仿宋_GB2312" w:eastAsia="仿宋_GB2312" w:hint="eastAsia"/>
          <w:sz w:val="32"/>
          <w:szCs w:val="32"/>
        </w:rPr>
        <w:t>3.</w:t>
      </w:r>
      <w:r w:rsidRPr="00E1007C">
        <w:rPr>
          <w:rFonts w:ascii="仿宋_GB2312" w:eastAsia="仿宋_GB2312"/>
          <w:sz w:val="32"/>
          <w:szCs w:val="32"/>
        </w:rPr>
        <w:t>所在项目区范围线</w:t>
      </w:r>
    </w:p>
    <w:p w:rsidR="00ED307F" w:rsidRPr="00E1007C" w:rsidRDefault="00ED307F" w:rsidP="00ED307F">
      <w:pPr>
        <w:spacing w:line="560" w:lineRule="exact"/>
        <w:ind w:firstLineChars="500" w:firstLine="1600"/>
        <w:rPr>
          <w:rFonts w:ascii="仿宋_GB2312" w:eastAsia="仿宋_GB2312"/>
          <w:sz w:val="32"/>
          <w:szCs w:val="32"/>
        </w:rPr>
      </w:pPr>
      <w:r>
        <w:rPr>
          <w:rFonts w:ascii="仿宋_GB2312" w:eastAsia="仿宋_GB2312" w:hint="eastAsia"/>
          <w:sz w:val="32"/>
          <w:szCs w:val="32"/>
        </w:rPr>
        <w:t>4.</w:t>
      </w:r>
      <w:r w:rsidRPr="00E1007C">
        <w:rPr>
          <w:rFonts w:ascii="仿宋_GB2312" w:eastAsia="仿宋_GB2312"/>
          <w:sz w:val="32"/>
          <w:szCs w:val="32"/>
        </w:rPr>
        <w:t>补划永久基本农田拐点坐标</w:t>
      </w:r>
    </w:p>
    <w:p w:rsidR="00ED307F" w:rsidRPr="00CE2429" w:rsidRDefault="00ED307F" w:rsidP="00ED307F">
      <w:pPr>
        <w:spacing w:line="560" w:lineRule="exact"/>
        <w:ind w:leftChars="760" w:left="1916" w:hangingChars="100" w:hanging="320"/>
        <w:rPr>
          <w:rFonts w:ascii="仿宋_GB2312" w:eastAsia="仿宋_GB2312"/>
          <w:sz w:val="32"/>
          <w:szCs w:val="32"/>
        </w:rPr>
      </w:pPr>
      <w:r>
        <w:rPr>
          <w:rFonts w:ascii="仿宋_GB2312" w:eastAsia="仿宋_GB2312" w:hint="eastAsia"/>
          <w:sz w:val="32"/>
          <w:szCs w:val="32"/>
        </w:rPr>
        <w:t>5.</w:t>
      </w:r>
      <w:r w:rsidRPr="00E1007C">
        <w:rPr>
          <w:rFonts w:ascii="仿宋_GB2312" w:eastAsia="仿宋_GB2312"/>
          <w:sz w:val="32"/>
          <w:szCs w:val="32"/>
        </w:rPr>
        <w:t>所在项目区范围内调出（补划）永久基本农田示意图</w:t>
      </w:r>
    </w:p>
    <w:p w:rsidR="000A3B22" w:rsidRPr="00ED307F" w:rsidRDefault="000A3B22"/>
    <w:sectPr w:rsidR="000A3B22" w:rsidRPr="00ED307F" w:rsidSect="00C21F5F">
      <w:headerReference w:type="even" r:id="rId6"/>
      <w:footerReference w:type="even"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6A1" w:rsidRDefault="001B46A1" w:rsidP="00ED307F">
      <w:pPr>
        <w:ind w:firstLine="640"/>
      </w:pPr>
      <w:r>
        <w:separator/>
      </w:r>
    </w:p>
  </w:endnote>
  <w:endnote w:type="continuationSeparator" w:id="1">
    <w:p w:rsidR="001B46A1" w:rsidRDefault="001B46A1" w:rsidP="00ED307F">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07C" w:rsidRDefault="002B2EF7">
    <w:pPr>
      <w:rPr>
        <w:sz w:val="2"/>
        <w:szCs w:val="2"/>
      </w:rPr>
    </w:pPr>
    <w:r w:rsidRPr="002B2EF7">
      <w:rPr>
        <w:sz w:val="24"/>
        <w:szCs w:val="24"/>
        <w:lang w:val="zh-TW"/>
      </w:rPr>
      <w:pict>
        <v:shapetype id="_x0000_t202" coordsize="21600,21600" o:spt="202" path="m,l,21600r21600,l21600,xe">
          <v:stroke joinstyle="miter"/>
          <v:path gradientshapeok="t" o:connecttype="rect"/>
        </v:shapetype>
        <v:shape id="_x0000_s1026" type="#_x0000_t202" style="position:absolute;left:0;text-align:left;margin-left:69.7pt;margin-top:768.4pt;width:48.7pt;height:9.6pt;z-index:-251655168;mso-wrap-style:none;mso-wrap-distance-left:5pt;mso-wrap-distance-right:5pt;mso-position-horizontal-relative:page;mso-position-vertical-relative:page" wrapcoords="0 0" filled="f" stroked="f">
          <v:textbox style="mso-next-textbox:#_x0000_s1026;mso-fit-shape-to-text:t" inset="0,0,0,0">
            <w:txbxContent>
              <w:p w:rsidR="00E1007C" w:rsidRDefault="000A3B22">
                <w:r>
                  <w:rPr>
                    <w:rStyle w:val="Headerorfooter125pt"/>
                    <w:rFonts w:eastAsiaTheme="minorEastAsia"/>
                  </w:rPr>
                  <w:t>—64</w:t>
                </w:r>
                <w:r>
                  <w:rPr>
                    <w:rStyle w:val="Headerorfooter"/>
                    <w:rFonts w:eastAsiaTheme="minorEastAsia"/>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6A1" w:rsidRDefault="001B46A1" w:rsidP="00ED307F">
      <w:pPr>
        <w:ind w:firstLine="640"/>
      </w:pPr>
      <w:r>
        <w:separator/>
      </w:r>
    </w:p>
  </w:footnote>
  <w:footnote w:type="continuationSeparator" w:id="1">
    <w:p w:rsidR="001B46A1" w:rsidRDefault="001B46A1" w:rsidP="00ED307F">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07C" w:rsidRDefault="002B2EF7">
    <w:pPr>
      <w:rPr>
        <w:sz w:val="2"/>
        <w:szCs w:val="2"/>
      </w:rPr>
    </w:pPr>
    <w:r w:rsidRPr="002B2EF7">
      <w:rPr>
        <w:sz w:val="24"/>
        <w:szCs w:val="24"/>
        <w:lang w:val="zh-TW"/>
      </w:rPr>
      <w:pict>
        <v:shapetype id="_x0000_t202" coordsize="21600,21600" o:spt="202" path="m,l,21600r21600,l21600,xe">
          <v:stroke joinstyle="miter"/>
          <v:path gradientshapeok="t" o:connecttype="rect"/>
        </v:shapetype>
        <v:shape id="_x0000_s1025" type="#_x0000_t202" style="position:absolute;left:0;text-align:left;margin-left:71.15pt;margin-top:77.95pt;width:41.75pt;height:14.65pt;z-index:-251658240;mso-wrap-style:none;mso-wrap-distance-left:5pt;mso-wrap-distance-right:5pt;mso-position-horizontal-relative:page;mso-position-vertical-relative:page" wrapcoords="0 0" filled="f" stroked="f">
          <v:textbox style="mso-next-textbox:#_x0000_s1025;mso-fit-shape-to-text:t" inset="0,0,0,0">
            <w:txbxContent>
              <w:p w:rsidR="00E1007C" w:rsidRDefault="000A3B22">
                <w:r>
                  <w:rPr>
                    <w:rStyle w:val="HeaderorfooterMingLiU"/>
                    <w:rFonts w:eastAsiaTheme="minorEastAsia"/>
                  </w:rPr>
                  <w:t>附件</w:t>
                </w:r>
                <w:r>
                  <w:rPr>
                    <w:rStyle w:val="Headerorfooter125pt"/>
                    <w:rFonts w:eastAsiaTheme="minorEastAsia"/>
                  </w:rPr>
                  <w:t>7</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307F"/>
    <w:rsid w:val="000A3B22"/>
    <w:rsid w:val="001B46A1"/>
    <w:rsid w:val="001C55E4"/>
    <w:rsid w:val="00207FF2"/>
    <w:rsid w:val="0024673B"/>
    <w:rsid w:val="002B2EF7"/>
    <w:rsid w:val="002F7E17"/>
    <w:rsid w:val="004537B8"/>
    <w:rsid w:val="004649E4"/>
    <w:rsid w:val="00BD372A"/>
    <w:rsid w:val="00C82458"/>
    <w:rsid w:val="00D909CC"/>
    <w:rsid w:val="00E550D9"/>
    <w:rsid w:val="00ED307F"/>
    <w:rsid w:val="00FF78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0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30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307F"/>
    <w:rPr>
      <w:sz w:val="18"/>
      <w:szCs w:val="18"/>
    </w:rPr>
  </w:style>
  <w:style w:type="paragraph" w:styleId="a4">
    <w:name w:val="footer"/>
    <w:basedOn w:val="a"/>
    <w:link w:val="Char0"/>
    <w:uiPriority w:val="99"/>
    <w:semiHidden/>
    <w:unhideWhenUsed/>
    <w:rsid w:val="00ED30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307F"/>
    <w:rPr>
      <w:sz w:val="18"/>
      <w:szCs w:val="18"/>
    </w:rPr>
  </w:style>
  <w:style w:type="character" w:customStyle="1" w:styleId="HeaderorfooterMingLiU">
    <w:name w:val="Header or footer + MingLiU"/>
    <w:aliases w:val="14.5 pt"/>
    <w:basedOn w:val="a0"/>
    <w:rsid w:val="00ED307F"/>
    <w:rPr>
      <w:rFonts w:ascii="MingLiU" w:eastAsia="MingLiU" w:hAnsi="MingLiU" w:cs="MingLiU"/>
      <w:b w:val="0"/>
      <w:bCs w:val="0"/>
      <w:i w:val="0"/>
      <w:iCs w:val="0"/>
      <w:smallCaps w:val="0"/>
      <w:strike w:val="0"/>
      <w:color w:val="000000"/>
      <w:spacing w:val="0"/>
      <w:w w:val="100"/>
      <w:position w:val="0"/>
      <w:sz w:val="29"/>
      <w:szCs w:val="29"/>
      <w:u w:val="none"/>
      <w:lang w:val="zh-TW"/>
    </w:rPr>
  </w:style>
  <w:style w:type="character" w:customStyle="1" w:styleId="Headerorfooter125pt">
    <w:name w:val="Header or footer + 12.5 pt"/>
    <w:aliases w:val="Spacing 2 pt,Body text + Times New Roman,11.5 pt"/>
    <w:basedOn w:val="a0"/>
    <w:rsid w:val="00ED307F"/>
    <w:rPr>
      <w:rFonts w:ascii="Times New Roman" w:eastAsia="Times New Roman" w:hAnsi="Times New Roman" w:cs="Times New Roman"/>
      <w:b w:val="0"/>
      <w:bCs w:val="0"/>
      <w:i w:val="0"/>
      <w:iCs w:val="0"/>
      <w:smallCaps w:val="0"/>
      <w:strike w:val="0"/>
      <w:color w:val="000000"/>
      <w:spacing w:val="40"/>
      <w:w w:val="100"/>
      <w:position w:val="0"/>
      <w:sz w:val="25"/>
      <w:szCs w:val="25"/>
      <w:u w:val="none"/>
      <w:lang w:val="zh-TW"/>
    </w:rPr>
  </w:style>
  <w:style w:type="character" w:customStyle="1" w:styleId="Headerorfooter">
    <w:name w:val="Header or footer"/>
    <w:basedOn w:val="a0"/>
    <w:rsid w:val="00ED307F"/>
    <w:rPr>
      <w:rFonts w:ascii="Times New Roman" w:eastAsia="Times New Roman" w:hAnsi="Times New Roman" w:cs="Times New Roman"/>
      <w:b w:val="0"/>
      <w:bCs w:val="0"/>
      <w:i w:val="0"/>
      <w:iCs w:val="0"/>
      <w:smallCaps w:val="0"/>
      <w:strike w:val="0"/>
      <w:color w:val="000000"/>
      <w:spacing w:val="0"/>
      <w:w w:val="100"/>
      <w:position w:val="0"/>
      <w:sz w:val="8"/>
      <w:szCs w:val="8"/>
      <w:u w:val="none"/>
      <w:lang w:val="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王斌</dc:creator>
  <cp:keywords/>
  <dc:description/>
  <cp:lastModifiedBy>王斌&gt;</cp:lastModifiedBy>
  <cp:revision>7</cp:revision>
  <dcterms:created xsi:type="dcterms:W3CDTF">2020-08-03T10:25:00Z</dcterms:created>
  <dcterms:modified xsi:type="dcterms:W3CDTF">2020-09-27T09:31:00Z</dcterms:modified>
</cp:coreProperties>
</file>